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13</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14</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14</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14</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19</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19</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20</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21</w:t>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四十一、霸州市南孟镇北落店完全小学收支预算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501521霸州市南孟镇北落店完全小学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248.25</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248.25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248.25</w:t>
            </w:r>
          </w:p>
        </w:tc>
        <w:tc>
          <w:tcPr>
            <w:tcW w:w="4535" w:type="dxa"/>
            <w:vAlign w:val="center"/>
          </w:tcPr>
          <w:p>
            <w:pPr>
              <w:pStyle w:val="24"/>
            </w:pPr>
            <w:r>
              <w:t>本年支出合计</w:t>
            </w:r>
          </w:p>
        </w:tc>
        <w:tc>
          <w:tcPr>
            <w:tcW w:w="2126" w:type="dxa"/>
            <w:vAlign w:val="center"/>
          </w:tcPr>
          <w:p>
            <w:pPr>
              <w:pStyle w:val="25"/>
            </w:pPr>
            <w:r>
              <w:t>248.25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248.25</w:t>
            </w:r>
          </w:p>
        </w:tc>
        <w:tc>
          <w:tcPr>
            <w:tcW w:w="4535" w:type="dxa"/>
            <w:vAlign w:val="center"/>
          </w:tcPr>
          <w:p>
            <w:pPr>
              <w:pStyle w:val="24"/>
            </w:pPr>
            <w:r>
              <w:t>支出总计</w:t>
            </w:r>
          </w:p>
        </w:tc>
        <w:tc>
          <w:tcPr>
            <w:tcW w:w="2126" w:type="dxa"/>
            <w:vAlign w:val="center"/>
          </w:tcPr>
          <w:p>
            <w:pPr>
              <w:pStyle w:val="25"/>
            </w:pPr>
            <w:r>
              <w:t>248.25</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501521霸州市南孟镇北落店完全小学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248.25</w:t>
            </w:r>
          </w:p>
        </w:tc>
        <w:tc>
          <w:tcPr>
            <w:tcW w:w="1134" w:type="dxa"/>
            <w:vAlign w:val="center"/>
          </w:tcPr>
          <w:p>
            <w:pPr>
              <w:pStyle w:val="25"/>
            </w:pPr>
            <w:r>
              <w:t>248.25</w:t>
            </w:r>
          </w:p>
        </w:tc>
        <w:tc>
          <w:tcPr>
            <w:tcW w:w="1134" w:type="dxa"/>
            <w:vAlign w:val="center"/>
          </w:tcPr>
          <w:p>
            <w:pPr>
              <w:pStyle w:val="25"/>
            </w:pPr>
            <w:r>
              <w:t>248.25</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248.25</w:t>
            </w:r>
          </w:p>
        </w:tc>
        <w:tc>
          <w:tcPr>
            <w:tcW w:w="1134" w:type="dxa"/>
            <w:vAlign w:val="center"/>
          </w:tcPr>
          <w:p>
            <w:pPr>
              <w:pStyle w:val="21"/>
            </w:pPr>
            <w:r>
              <w:t>248.25</w:t>
            </w:r>
          </w:p>
        </w:tc>
        <w:tc>
          <w:tcPr>
            <w:tcW w:w="1134" w:type="dxa"/>
            <w:vAlign w:val="center"/>
          </w:tcPr>
          <w:p>
            <w:pPr>
              <w:pStyle w:val="21"/>
            </w:pPr>
            <w:r>
              <w:t>248.25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248.25</w:t>
            </w:r>
          </w:p>
        </w:tc>
        <w:tc>
          <w:tcPr>
            <w:tcW w:w="1134" w:type="dxa"/>
            <w:vAlign w:val="center"/>
          </w:tcPr>
          <w:p>
            <w:pPr>
              <w:pStyle w:val="21"/>
            </w:pPr>
            <w:r>
              <w:t>248.25</w:t>
            </w:r>
          </w:p>
        </w:tc>
        <w:tc>
          <w:tcPr>
            <w:tcW w:w="1134" w:type="dxa"/>
            <w:vAlign w:val="center"/>
          </w:tcPr>
          <w:p>
            <w:pPr>
              <w:pStyle w:val="21"/>
            </w:pPr>
            <w:r>
              <w:t>248.25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3.52</w:t>
            </w:r>
          </w:p>
        </w:tc>
        <w:tc>
          <w:tcPr>
            <w:tcW w:w="1134" w:type="dxa"/>
            <w:vAlign w:val="center"/>
          </w:tcPr>
          <w:p>
            <w:pPr>
              <w:pStyle w:val="21"/>
            </w:pPr>
            <w:r>
              <w:t>3.52</w:t>
            </w:r>
          </w:p>
        </w:tc>
        <w:tc>
          <w:tcPr>
            <w:tcW w:w="1134" w:type="dxa"/>
            <w:vAlign w:val="center"/>
          </w:tcPr>
          <w:p>
            <w:pPr>
              <w:pStyle w:val="21"/>
            </w:pPr>
            <w:r>
              <w:t>3.52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244.73</w:t>
            </w:r>
          </w:p>
        </w:tc>
        <w:tc>
          <w:tcPr>
            <w:tcW w:w="1134" w:type="dxa"/>
            <w:vAlign w:val="center"/>
          </w:tcPr>
          <w:p>
            <w:pPr>
              <w:pStyle w:val="21"/>
            </w:pPr>
            <w:r>
              <w:t>244.73</w:t>
            </w:r>
          </w:p>
        </w:tc>
        <w:tc>
          <w:tcPr>
            <w:tcW w:w="1134" w:type="dxa"/>
            <w:vAlign w:val="center"/>
          </w:tcPr>
          <w:p>
            <w:pPr>
              <w:pStyle w:val="21"/>
            </w:pPr>
            <w:r>
              <w:t>244.73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501521霸州市南孟镇北落店完全小学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248.25</w:t>
            </w:r>
          </w:p>
        </w:tc>
        <w:tc>
          <w:tcPr>
            <w:tcW w:w="1361" w:type="dxa"/>
            <w:vAlign w:val="center"/>
          </w:tcPr>
          <w:p>
            <w:pPr>
              <w:pStyle w:val="25"/>
            </w:pPr>
            <w:r>
              <w:t>237.38</w:t>
            </w:r>
          </w:p>
        </w:tc>
        <w:tc>
          <w:tcPr>
            <w:tcW w:w="1361" w:type="dxa"/>
            <w:vAlign w:val="center"/>
          </w:tcPr>
          <w:p>
            <w:pPr>
              <w:pStyle w:val="25"/>
            </w:pPr>
            <w:r>
              <w:t>10.87</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248.25</w:t>
            </w:r>
          </w:p>
        </w:tc>
        <w:tc>
          <w:tcPr>
            <w:tcW w:w="1361" w:type="dxa"/>
            <w:vAlign w:val="center"/>
          </w:tcPr>
          <w:p>
            <w:pPr>
              <w:pStyle w:val="21"/>
            </w:pPr>
            <w:r>
              <w:t>237.38</w:t>
            </w:r>
          </w:p>
        </w:tc>
        <w:tc>
          <w:tcPr>
            <w:tcW w:w="1361" w:type="dxa"/>
            <w:vAlign w:val="center"/>
          </w:tcPr>
          <w:p>
            <w:pPr>
              <w:pStyle w:val="21"/>
            </w:pPr>
            <w:r>
              <w:t>10.87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248.25</w:t>
            </w:r>
          </w:p>
        </w:tc>
        <w:tc>
          <w:tcPr>
            <w:tcW w:w="1361" w:type="dxa"/>
            <w:vAlign w:val="center"/>
          </w:tcPr>
          <w:p>
            <w:pPr>
              <w:pStyle w:val="21"/>
            </w:pPr>
            <w:r>
              <w:t>237.38</w:t>
            </w:r>
          </w:p>
        </w:tc>
        <w:tc>
          <w:tcPr>
            <w:tcW w:w="1361" w:type="dxa"/>
            <w:vAlign w:val="center"/>
          </w:tcPr>
          <w:p>
            <w:pPr>
              <w:pStyle w:val="21"/>
            </w:pPr>
            <w:r>
              <w:t>10.87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3.52</w:t>
            </w:r>
          </w:p>
        </w:tc>
        <w:tc>
          <w:tcPr>
            <w:tcW w:w="1361" w:type="dxa"/>
            <w:vAlign w:val="center"/>
          </w:tcPr>
          <w:p>
            <w:pPr>
              <w:pStyle w:val="21"/>
            </w:pPr>
            <w:r>
              <w:t>0.52</w:t>
            </w:r>
          </w:p>
        </w:tc>
        <w:tc>
          <w:tcPr>
            <w:tcW w:w="1361" w:type="dxa"/>
            <w:vAlign w:val="center"/>
          </w:tcPr>
          <w:p>
            <w:pPr>
              <w:pStyle w:val="21"/>
            </w:pPr>
            <w:r>
              <w:t>3.00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244.73</w:t>
            </w:r>
          </w:p>
        </w:tc>
        <w:tc>
          <w:tcPr>
            <w:tcW w:w="1361" w:type="dxa"/>
            <w:vAlign w:val="center"/>
          </w:tcPr>
          <w:p>
            <w:pPr>
              <w:pStyle w:val="21"/>
            </w:pPr>
            <w:r>
              <w:t>236.86</w:t>
            </w:r>
          </w:p>
        </w:tc>
        <w:tc>
          <w:tcPr>
            <w:tcW w:w="1361" w:type="dxa"/>
            <w:vAlign w:val="center"/>
          </w:tcPr>
          <w:p>
            <w:pPr>
              <w:pStyle w:val="21"/>
            </w:pPr>
            <w:r>
              <w:t>7.87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501521霸州市南孟镇北落店完全小学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248.25</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248.25</w:t>
            </w:r>
          </w:p>
        </w:tc>
        <w:tc>
          <w:tcPr>
            <w:tcW w:w="1474" w:type="dxa"/>
            <w:vAlign w:val="center"/>
          </w:tcPr>
          <w:p>
            <w:pPr>
              <w:pStyle w:val="21"/>
            </w:pPr>
            <w:r>
              <w:t>248.25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248.25</w:t>
            </w:r>
          </w:p>
        </w:tc>
        <w:tc>
          <w:tcPr>
            <w:tcW w:w="3402" w:type="dxa"/>
            <w:vAlign w:val="center"/>
          </w:tcPr>
          <w:p>
            <w:pPr>
              <w:pStyle w:val="24"/>
            </w:pPr>
            <w:r>
              <w:t>本年支出合计</w:t>
            </w:r>
          </w:p>
        </w:tc>
        <w:tc>
          <w:tcPr>
            <w:tcW w:w="1474" w:type="dxa"/>
            <w:vAlign w:val="center"/>
          </w:tcPr>
          <w:p>
            <w:pPr>
              <w:pStyle w:val="25"/>
            </w:pPr>
            <w:r>
              <w:t>248.25</w:t>
            </w:r>
          </w:p>
        </w:tc>
        <w:tc>
          <w:tcPr>
            <w:tcW w:w="1474" w:type="dxa"/>
            <w:vAlign w:val="center"/>
          </w:tcPr>
          <w:p>
            <w:pPr>
              <w:pStyle w:val="25"/>
            </w:pPr>
            <w:r>
              <w:t>248.25</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248.25</w:t>
            </w:r>
          </w:p>
        </w:tc>
        <w:tc>
          <w:tcPr>
            <w:tcW w:w="3402" w:type="dxa"/>
            <w:vAlign w:val="center"/>
          </w:tcPr>
          <w:p>
            <w:pPr>
              <w:pStyle w:val="24"/>
            </w:pPr>
            <w:r>
              <w:t>支出总计</w:t>
            </w:r>
          </w:p>
        </w:tc>
        <w:tc>
          <w:tcPr>
            <w:tcW w:w="1474" w:type="dxa"/>
            <w:vAlign w:val="center"/>
          </w:tcPr>
          <w:p>
            <w:pPr>
              <w:pStyle w:val="25"/>
            </w:pPr>
            <w:r>
              <w:t>248.25</w:t>
            </w:r>
          </w:p>
        </w:tc>
        <w:tc>
          <w:tcPr>
            <w:tcW w:w="1474" w:type="dxa"/>
            <w:vAlign w:val="center"/>
          </w:tcPr>
          <w:p>
            <w:pPr>
              <w:pStyle w:val="25"/>
            </w:pPr>
            <w:r>
              <w:t>248.25</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501521霸州市南孟镇北落店完全小学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248.25</w:t>
            </w:r>
          </w:p>
        </w:tc>
        <w:tc>
          <w:tcPr>
            <w:tcW w:w="2551" w:type="dxa"/>
            <w:vAlign w:val="center"/>
          </w:tcPr>
          <w:p>
            <w:pPr>
              <w:pStyle w:val="25"/>
            </w:pPr>
            <w:r>
              <w:t>237.38</w:t>
            </w:r>
          </w:p>
        </w:tc>
        <w:tc>
          <w:tcPr>
            <w:tcW w:w="2551" w:type="dxa"/>
            <w:vAlign w:val="center"/>
          </w:tcPr>
          <w:p>
            <w:pPr>
              <w:pStyle w:val="25"/>
            </w:pPr>
            <w:r>
              <w:t>10.87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248.25</w:t>
            </w:r>
          </w:p>
        </w:tc>
        <w:tc>
          <w:tcPr>
            <w:tcW w:w="2551" w:type="dxa"/>
            <w:vAlign w:val="center"/>
          </w:tcPr>
          <w:p>
            <w:pPr>
              <w:pStyle w:val="21"/>
            </w:pPr>
            <w:r>
              <w:t>237.38</w:t>
            </w:r>
          </w:p>
        </w:tc>
        <w:tc>
          <w:tcPr>
            <w:tcW w:w="2551" w:type="dxa"/>
            <w:vAlign w:val="center"/>
          </w:tcPr>
          <w:p>
            <w:pPr>
              <w:pStyle w:val="21"/>
            </w:pPr>
            <w:r>
              <w:t>10.87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248.25</w:t>
            </w:r>
          </w:p>
        </w:tc>
        <w:tc>
          <w:tcPr>
            <w:tcW w:w="2551" w:type="dxa"/>
            <w:vAlign w:val="center"/>
          </w:tcPr>
          <w:p>
            <w:pPr>
              <w:pStyle w:val="21"/>
            </w:pPr>
            <w:r>
              <w:t>237.38</w:t>
            </w:r>
          </w:p>
        </w:tc>
        <w:tc>
          <w:tcPr>
            <w:tcW w:w="2551" w:type="dxa"/>
            <w:vAlign w:val="center"/>
          </w:tcPr>
          <w:p>
            <w:pPr>
              <w:pStyle w:val="21"/>
            </w:pPr>
            <w:r>
              <w:t>10.87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3.52</w:t>
            </w:r>
          </w:p>
        </w:tc>
        <w:tc>
          <w:tcPr>
            <w:tcW w:w="2551" w:type="dxa"/>
            <w:vAlign w:val="center"/>
          </w:tcPr>
          <w:p>
            <w:pPr>
              <w:pStyle w:val="21"/>
            </w:pPr>
            <w:r>
              <w:t>0.52</w:t>
            </w:r>
          </w:p>
        </w:tc>
        <w:tc>
          <w:tcPr>
            <w:tcW w:w="2551" w:type="dxa"/>
            <w:vAlign w:val="center"/>
          </w:tcPr>
          <w:p>
            <w:pPr>
              <w:pStyle w:val="2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244.73</w:t>
            </w:r>
          </w:p>
        </w:tc>
        <w:tc>
          <w:tcPr>
            <w:tcW w:w="2551" w:type="dxa"/>
            <w:vAlign w:val="center"/>
          </w:tcPr>
          <w:p>
            <w:pPr>
              <w:pStyle w:val="21"/>
            </w:pPr>
            <w:r>
              <w:t>236.86</w:t>
            </w:r>
          </w:p>
        </w:tc>
        <w:tc>
          <w:tcPr>
            <w:tcW w:w="2551" w:type="dxa"/>
            <w:vAlign w:val="center"/>
          </w:tcPr>
          <w:p>
            <w:pPr>
              <w:pStyle w:val="21"/>
            </w:pPr>
            <w:r>
              <w:t>7.87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501521霸州市南孟镇北落店完全小学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237.38</w:t>
            </w:r>
          </w:p>
        </w:tc>
        <w:tc>
          <w:tcPr>
            <w:tcW w:w="2551" w:type="dxa"/>
            <w:vAlign w:val="center"/>
          </w:tcPr>
          <w:p>
            <w:pPr>
              <w:pStyle w:val="25"/>
            </w:pPr>
            <w:r>
              <w:t>233.74</w:t>
            </w:r>
          </w:p>
        </w:tc>
        <w:tc>
          <w:tcPr>
            <w:tcW w:w="2551" w:type="dxa"/>
            <w:vAlign w:val="center"/>
          </w:tcPr>
          <w:p>
            <w:pPr>
              <w:pStyle w:val="25"/>
            </w:pPr>
            <w:r>
              <w:t>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184.12</w:t>
            </w:r>
          </w:p>
        </w:tc>
        <w:tc>
          <w:tcPr>
            <w:tcW w:w="2551" w:type="dxa"/>
            <w:vAlign w:val="center"/>
          </w:tcPr>
          <w:p>
            <w:pPr>
              <w:pStyle w:val="21"/>
            </w:pPr>
            <w:r>
              <w:t>184.12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54.99</w:t>
            </w:r>
          </w:p>
        </w:tc>
        <w:tc>
          <w:tcPr>
            <w:tcW w:w="2551" w:type="dxa"/>
            <w:vAlign w:val="center"/>
          </w:tcPr>
          <w:p>
            <w:pPr>
              <w:pStyle w:val="21"/>
            </w:pPr>
            <w:r>
              <w:t>54.99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14.13</w:t>
            </w:r>
          </w:p>
        </w:tc>
        <w:tc>
          <w:tcPr>
            <w:tcW w:w="2551" w:type="dxa"/>
            <w:vAlign w:val="center"/>
          </w:tcPr>
          <w:p>
            <w:pPr>
              <w:pStyle w:val="21"/>
            </w:pPr>
            <w:r>
              <w:t>14.13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76.25</w:t>
            </w:r>
          </w:p>
        </w:tc>
        <w:tc>
          <w:tcPr>
            <w:tcW w:w="2551" w:type="dxa"/>
            <w:vAlign w:val="center"/>
          </w:tcPr>
          <w:p>
            <w:pPr>
              <w:pStyle w:val="21"/>
            </w:pPr>
            <w:r>
              <w:t>76.25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17.70</w:t>
            </w:r>
          </w:p>
        </w:tc>
        <w:tc>
          <w:tcPr>
            <w:tcW w:w="2551" w:type="dxa"/>
            <w:vAlign w:val="center"/>
          </w:tcPr>
          <w:p>
            <w:pPr>
              <w:pStyle w:val="21"/>
            </w:pPr>
            <w:r>
              <w:t>17.70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5.15</w:t>
            </w:r>
          </w:p>
        </w:tc>
        <w:tc>
          <w:tcPr>
            <w:tcW w:w="2551" w:type="dxa"/>
            <w:vAlign w:val="center"/>
          </w:tcPr>
          <w:p>
            <w:pPr>
              <w:pStyle w:val="21"/>
            </w:pPr>
            <w:r>
              <w:t>5.15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1.28</w:t>
            </w:r>
          </w:p>
        </w:tc>
        <w:tc>
          <w:tcPr>
            <w:tcW w:w="2551" w:type="dxa"/>
            <w:vAlign w:val="center"/>
          </w:tcPr>
          <w:p>
            <w:pPr>
              <w:pStyle w:val="21"/>
            </w:pPr>
            <w:r>
              <w:t>1.28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14.62</w:t>
            </w:r>
          </w:p>
        </w:tc>
        <w:tc>
          <w:tcPr>
            <w:tcW w:w="2551" w:type="dxa"/>
            <w:vAlign w:val="center"/>
          </w:tcPr>
          <w:p>
            <w:pPr>
              <w:pStyle w:val="21"/>
            </w:pPr>
            <w:r>
              <w:t>14.62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3.64</w:t>
            </w:r>
          </w:p>
        </w:tc>
        <w:tc>
          <w:tcPr>
            <w:tcW w:w="2551" w:type="dxa"/>
            <w:vAlign w:val="center"/>
          </w:tcPr>
          <w:p>
            <w:pPr>
              <w:pStyle w:val="21"/>
            </w:pPr>
          </w:p>
        </w:tc>
        <w:tc>
          <w:tcPr>
            <w:tcW w:w="2551" w:type="dxa"/>
            <w:vAlign w:val="center"/>
          </w:tcPr>
          <w:p>
            <w:pPr>
              <w:pStyle w:val="21"/>
            </w:pPr>
            <w:r>
              <w:t>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0.52</w:t>
            </w:r>
          </w:p>
        </w:tc>
        <w:tc>
          <w:tcPr>
            <w:tcW w:w="2551" w:type="dxa"/>
            <w:vAlign w:val="center"/>
          </w:tcPr>
          <w:p>
            <w:pPr>
              <w:pStyle w:val="21"/>
            </w:pPr>
          </w:p>
        </w:tc>
        <w:tc>
          <w:tcPr>
            <w:tcW w:w="2551" w:type="dxa"/>
            <w:vAlign w:val="center"/>
          </w:tcPr>
          <w:p>
            <w:pPr>
              <w:pStyle w:val="21"/>
            </w:pPr>
            <w: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1.81</w:t>
            </w:r>
          </w:p>
        </w:tc>
        <w:tc>
          <w:tcPr>
            <w:tcW w:w="2551" w:type="dxa"/>
            <w:vAlign w:val="center"/>
          </w:tcPr>
          <w:p>
            <w:pPr>
              <w:pStyle w:val="21"/>
            </w:pPr>
          </w:p>
        </w:tc>
        <w:tc>
          <w:tcPr>
            <w:tcW w:w="2551" w:type="dxa"/>
            <w:vAlign w:val="center"/>
          </w:tcPr>
          <w:p>
            <w:pPr>
              <w:pStyle w:val="21"/>
            </w:pPr>
            <w:r>
              <w:t>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1.31</w:t>
            </w:r>
          </w:p>
        </w:tc>
        <w:tc>
          <w:tcPr>
            <w:tcW w:w="2551" w:type="dxa"/>
            <w:vAlign w:val="center"/>
          </w:tcPr>
          <w:p>
            <w:pPr>
              <w:pStyle w:val="21"/>
            </w:pPr>
          </w:p>
        </w:tc>
        <w:tc>
          <w:tcPr>
            <w:tcW w:w="2551" w:type="dxa"/>
            <w:vAlign w:val="center"/>
          </w:tcPr>
          <w:p>
            <w:pPr>
              <w:pStyle w:val="21"/>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49.62</w:t>
            </w:r>
          </w:p>
        </w:tc>
        <w:tc>
          <w:tcPr>
            <w:tcW w:w="2551" w:type="dxa"/>
            <w:vAlign w:val="center"/>
          </w:tcPr>
          <w:p>
            <w:pPr>
              <w:pStyle w:val="21"/>
            </w:pPr>
            <w:r>
              <w:t>49.62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37.91</w:t>
            </w:r>
          </w:p>
        </w:tc>
        <w:tc>
          <w:tcPr>
            <w:tcW w:w="2551" w:type="dxa"/>
            <w:vAlign w:val="center"/>
          </w:tcPr>
          <w:p>
            <w:pPr>
              <w:pStyle w:val="21"/>
            </w:pPr>
            <w:r>
              <w:t>37.91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11.69</w:t>
            </w:r>
          </w:p>
        </w:tc>
        <w:tc>
          <w:tcPr>
            <w:tcW w:w="2551" w:type="dxa"/>
            <w:vAlign w:val="center"/>
          </w:tcPr>
          <w:p>
            <w:pPr>
              <w:pStyle w:val="21"/>
            </w:pPr>
            <w:r>
              <w:t>11.69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0.02</w:t>
            </w:r>
          </w:p>
        </w:tc>
        <w:tc>
          <w:tcPr>
            <w:tcW w:w="2551" w:type="dxa"/>
            <w:vAlign w:val="center"/>
          </w:tcPr>
          <w:p>
            <w:pPr>
              <w:pStyle w:val="21"/>
            </w:pPr>
            <w:r>
              <w:t>0.02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501521霸州市南孟镇北落店完全小学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501521霸州市南孟镇北落店完全小学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bookmarkStart w:id="0" w:name="_Toc97385436"/>
      <w:bookmarkStart w:id="1" w:name="_Toc97385196"/>
      <w:r>
        <w:rPr>
          <w:rFonts w:ascii="方正小标宋_GBK" w:hAnsi="方正小标宋_GBK" w:eastAsia="方正小标宋_GBK" w:cs="方正小标宋_GBK"/>
          <w:color w:val="000000"/>
          <w:sz w:val="36"/>
        </w:rPr>
        <w:t>单位预算财政拨款“三公”经费支出表</w:t>
      </w:r>
      <w:bookmarkEnd w:id="0"/>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501521霸州市南孟镇北落店完全小学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霸州市南孟镇北落店完全小学2023年单位预算信息公开情况说明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按照《预算法》、《地方预决算公开操作规程》和《关于进一步推进预算公开工作的实施意见》规定，现将霸州市南孟镇北落店完全小学2023年单位预算公开如下：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ascii="方正仿宋_GBK" w:hAnsi="仿宋"/>
          <w:szCs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霸州市南孟镇北落店完全小学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248.25</w:t>
      </w:r>
      <w:r>
        <w:rPr>
          <w:rFonts w:hint="eastAsia" w:ascii="方正仿宋_GBK"/>
        </w:rPr>
        <w:t>万元，其中：一般公共预算收入</w:t>
      </w:r>
      <w:r>
        <w:rPr>
          <w:rFonts w:ascii="方正仿宋_GBK"/>
        </w:rPr>
        <w:t>248.25</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北落</w:t>
      </w:r>
      <w:r>
        <w:rPr>
          <w:rFonts w:ascii="方正仿宋_GBK"/>
          <w:lang w:eastAsia="zh-CN"/>
        </w:rPr>
        <w:t>店完全小学</w:t>
      </w:r>
      <w:r>
        <w:rPr>
          <w:rFonts w:hint="eastAsia" w:ascii="方正仿宋_GBK"/>
        </w:rPr>
        <w:t>2023年度单位预算中支出预算的总体情况。2023年支出预算</w:t>
      </w:r>
      <w:r>
        <w:rPr>
          <w:rFonts w:ascii="方正仿宋_GBK"/>
        </w:rPr>
        <w:t>248.25</w:t>
      </w:r>
      <w:r>
        <w:rPr>
          <w:rFonts w:hint="eastAsia" w:ascii="方正仿宋_GBK"/>
        </w:rPr>
        <w:t>万元，其中：基本支出</w:t>
      </w:r>
      <w:r>
        <w:rPr>
          <w:rFonts w:ascii="方正仿宋_GBK"/>
        </w:rPr>
        <w:t>237.38</w:t>
      </w:r>
      <w:r>
        <w:rPr>
          <w:rFonts w:hint="eastAsia" w:ascii="方正仿宋_GBK"/>
        </w:rPr>
        <w:t>万元，包括人员经费</w:t>
      </w:r>
      <w:r>
        <w:rPr>
          <w:rFonts w:ascii="方正仿宋_GBK"/>
        </w:rPr>
        <w:t>233.74</w:t>
      </w:r>
      <w:r>
        <w:rPr>
          <w:rFonts w:hint="eastAsia" w:ascii="方正仿宋_GBK"/>
        </w:rPr>
        <w:t>万元和日常公用经费</w:t>
      </w:r>
      <w:r>
        <w:rPr>
          <w:rFonts w:hint="eastAsia" w:ascii="方正仿宋_GBK"/>
          <w:lang w:eastAsia="zh-CN"/>
        </w:rPr>
        <w:t>3.64</w:t>
      </w:r>
      <w:r>
        <w:rPr>
          <w:rFonts w:hint="eastAsia" w:ascii="方正仿宋_GBK"/>
        </w:rPr>
        <w:t>万元；项目支出</w:t>
      </w:r>
      <w:r>
        <w:rPr>
          <w:rFonts w:hint="eastAsia" w:ascii="方正仿宋_GBK"/>
          <w:lang w:eastAsia="zh-CN"/>
        </w:rPr>
        <w:t>10.87</w:t>
      </w:r>
      <w:r>
        <w:rPr>
          <w:rFonts w:hint="eastAsia" w:ascii="方正仿宋_GBK"/>
        </w:rPr>
        <w:t>万元，主要为</w:t>
      </w:r>
      <w:r>
        <w:rPr>
          <w:rFonts w:hint="eastAsia" w:ascii="方正仿宋_GBK" w:hAnsi="仿宋" w:cs="方正仿宋_GBK"/>
          <w:szCs w:val="28"/>
        </w:rPr>
        <w:t>城乡义务教育补助生均经费本级配套资金、</w:t>
      </w:r>
      <w:r>
        <w:t>关于提前下达2023年城乡义务教育省级补助资金预算的通知(公用经费)(冀财教[2022]162号)</w:t>
      </w:r>
      <w:r>
        <w:rPr>
          <w:rFonts w:hint="eastAsia" w:ascii="方正仿宋_GBK" w:hAnsi="仿宋" w:cs="方正仿宋_GBK"/>
          <w:szCs w:val="28"/>
        </w:rPr>
        <w:t xml:space="preserve">、 </w:t>
      </w:r>
      <w:r>
        <w:rPr>
          <w:rFonts w:ascii="方正仿宋_GBK" w:hAnsi="方正仿宋_GBK" w:cs="方正仿宋_GBK"/>
        </w:rPr>
        <w:t>关于提前下达2023年城乡义务教育中央补助经费预算的通知(公用经费)(冀财教[2022]179号)</w:t>
      </w:r>
      <w:r>
        <w:rPr>
          <w:rFonts w:hint="eastAsia" w:ascii="方正仿宋_GBK" w:hAnsi="仿宋" w:cs="方正仿宋_GBK"/>
          <w:szCs w:val="28"/>
        </w:rPr>
        <w:t>、幼儿保教经费</w:t>
      </w:r>
      <w:r>
        <w:rPr>
          <w:rFonts w:hint="eastAsia" w:ascii="方正仿宋_GBK"/>
          <w:szCs w:val="28"/>
        </w:rPr>
        <w:t>支出。</w:t>
      </w:r>
    </w:p>
    <w:p>
      <w:pPr>
        <w:pStyle w:val="36"/>
        <w:jc w:val="both"/>
        <w:rPr>
          <w:rFonts w:ascii="方正仿宋_GBK"/>
        </w:rPr>
      </w:pPr>
      <w:r>
        <w:rPr>
          <w:rFonts w:hint="eastAsia" w:ascii="方正仿宋_GBK"/>
        </w:rPr>
        <w:t>3、比上年增减情况</w:t>
      </w:r>
    </w:p>
    <w:p>
      <w:pPr>
        <w:pStyle w:val="36"/>
        <w:jc w:val="both"/>
        <w:rPr>
          <w:rFonts w:asciiTheme="minorHAnsi" w:hAnsiTheme="minorHAnsi"/>
          <w:szCs w:val="28"/>
          <w:lang w:val="uk-UA"/>
        </w:rPr>
      </w:pPr>
      <w:r>
        <w:rPr>
          <w:rFonts w:hint="eastAsia" w:ascii="方正仿宋_GBK"/>
        </w:rPr>
        <w:t>2023年预算收支安排</w:t>
      </w:r>
      <w:r>
        <w:rPr>
          <w:rFonts w:ascii="方正仿宋_GBK"/>
        </w:rPr>
        <w:t>248.25</w:t>
      </w:r>
      <w:r>
        <w:rPr>
          <w:rFonts w:hint="eastAsia" w:ascii="方正仿宋_GBK"/>
        </w:rPr>
        <w:t>万元，较2022年预算增加</w:t>
      </w:r>
      <w:r>
        <w:rPr>
          <w:rFonts w:hint="eastAsia" w:ascii="方正仿宋_GBK"/>
          <w:lang w:eastAsia="zh-CN"/>
        </w:rPr>
        <w:t>1</w:t>
      </w:r>
      <w:r>
        <w:rPr>
          <w:rFonts w:ascii="方正仿宋_GBK"/>
          <w:lang w:eastAsia="zh-CN"/>
        </w:rPr>
        <w:t>9.7</w:t>
      </w:r>
      <w:r>
        <w:rPr>
          <w:rFonts w:hint="eastAsia" w:ascii="方正仿宋_GBK"/>
        </w:rPr>
        <w:t>万元，其中：基本支出增加</w:t>
      </w:r>
      <w:r>
        <w:rPr>
          <w:rFonts w:hint="eastAsia" w:ascii="方正仿宋_GBK"/>
          <w:lang w:eastAsia="zh-CN"/>
        </w:rPr>
        <w:t>2</w:t>
      </w:r>
      <w:r>
        <w:rPr>
          <w:rFonts w:ascii="方正仿宋_GBK"/>
          <w:lang w:eastAsia="zh-CN"/>
        </w:rPr>
        <w:t>1.14</w:t>
      </w:r>
      <w:r>
        <w:rPr>
          <w:rFonts w:hint="eastAsia" w:ascii="方正仿宋_GBK"/>
        </w:rPr>
        <w:t>万元，主要为</w:t>
      </w:r>
      <w:r>
        <w:rPr>
          <w:rFonts w:hint="eastAsia" w:ascii="方正仿宋_GBK"/>
          <w:lang w:eastAsia="zh-CN"/>
        </w:rPr>
        <w:t>人</w:t>
      </w:r>
      <w:r>
        <w:rPr>
          <w:rFonts w:ascii="方正仿宋_GBK"/>
          <w:lang w:eastAsia="zh-CN"/>
        </w:rPr>
        <w:t>员类项目</w:t>
      </w:r>
      <w:r>
        <w:rPr>
          <w:rFonts w:hint="eastAsia" w:ascii="方正仿宋_GBK"/>
        </w:rPr>
        <w:t>支出；项目支出减少</w:t>
      </w:r>
      <w:r>
        <w:rPr>
          <w:rFonts w:hint="eastAsia" w:ascii="方正仿宋_GBK"/>
          <w:lang w:eastAsia="zh-CN"/>
        </w:rPr>
        <w:t>1.54</w:t>
      </w:r>
      <w:r>
        <w:rPr>
          <w:rFonts w:hint="eastAsia" w:ascii="方正仿宋_GBK"/>
        </w:rPr>
        <w:t>万元，主要为</w:t>
      </w:r>
      <w:r>
        <w:rPr>
          <w:rFonts w:hint="eastAsia" w:ascii="方正仿宋_GBK" w:hAnsi="仿宋" w:cs="方正仿宋_GBK"/>
          <w:szCs w:val="28"/>
        </w:rPr>
        <w:t>城乡义务教育补助生均经费本级配套资金、</w:t>
      </w:r>
      <w:r>
        <w:t>关于提前下达2023年城乡义务教育省级补助资金预算的通知(公用经费)(冀财教[2022]162号)</w:t>
      </w:r>
      <w:r>
        <w:rPr>
          <w:rFonts w:hint="eastAsia" w:ascii="方正仿宋_GBK" w:hAnsi="仿宋" w:cs="方正仿宋_GBK"/>
          <w:szCs w:val="28"/>
        </w:rPr>
        <w:t xml:space="preserve">、 </w:t>
      </w:r>
      <w:r>
        <w:rPr>
          <w:rFonts w:ascii="方正仿宋_GBK" w:hAnsi="方正仿宋_GBK" w:cs="方正仿宋_GBK"/>
        </w:rPr>
        <w:t>关于提前下达2023年城乡义务教育中央补助经费预算的通知(公用经费)(冀财教[2022]179号)</w:t>
      </w:r>
      <w:r>
        <w:rPr>
          <w:rFonts w:hint="eastAsia" w:ascii="方正仿宋_GBK" w:hAnsi="仿宋" w:cs="方正仿宋_GBK"/>
          <w:szCs w:val="28"/>
        </w:rPr>
        <w:t>、幼儿保教经费</w:t>
      </w:r>
      <w:r>
        <w:rPr>
          <w:rFonts w:hint="eastAsia" w:ascii="方正仿宋_GBK"/>
          <w:szCs w:val="28"/>
        </w:rPr>
        <w:t>支出。</w:t>
      </w:r>
    </w:p>
    <w:p>
      <w:pPr>
        <w:pStyle w:val="36"/>
        <w:jc w:val="both"/>
        <w:rPr>
          <w:lang w:eastAsia="zh-CN"/>
        </w:rPr>
      </w:pPr>
      <w:r>
        <w:rPr>
          <w:rFonts w:hint="eastAsia"/>
          <w:lang w:eastAsia="zh-CN"/>
        </w:rPr>
        <w:t>1</w:t>
      </w:r>
    </w:p>
    <w:p>
      <w:pPr>
        <w:spacing w:before="10" w:after="10"/>
        <w:ind w:firstLine="640"/>
        <w:outlineLvl w:val="5"/>
        <w:rPr>
          <w:lang w:val="uk-UA"/>
        </w:rPr>
      </w:pPr>
      <w:r>
        <w:rPr>
          <w:rFonts w:ascii="黑体" w:hAnsi="黑体" w:eastAsia="黑体" w:cs="黑体"/>
          <w:color w:val="000000"/>
          <w:sz w:val="32"/>
        </w:rPr>
        <w:t>三、机关运行经费安排情况</w:t>
      </w:r>
    </w:p>
    <w:p>
      <w:pPr>
        <w:ind w:firstLine="480" w:firstLineChars="200"/>
        <w:rPr>
          <w:rFonts w:eastAsia="方正仿宋_GBK" w:asciiTheme="minorHAnsi" w:hAnsiTheme="minorHAnsi"/>
          <w:sz w:val="28"/>
          <w:szCs w:val="28"/>
          <w:lang w:val="uk-UA"/>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ascii="方正仿宋_GBK"/>
        </w:rPr>
        <w:t>248.25</w:t>
      </w:r>
      <w:r>
        <w:rPr>
          <w:rFonts w:hint="eastAsia" w:ascii="方正仿宋_GBK"/>
        </w:rPr>
        <w:t>万元，</w:t>
      </w:r>
      <w:r>
        <w:rPr>
          <w:rFonts w:hint="eastAsia" w:ascii="方正仿宋_GBK" w:eastAsia="方正仿宋_GBK"/>
          <w:sz w:val="28"/>
          <w:szCs w:val="28"/>
        </w:rPr>
        <w:t>主要用于办公区的办公费、工会经费、福利费等日常运行支出。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w:t>
      </w:r>
      <w:r>
        <w:rPr>
          <w:rFonts w:hint="eastAsia" w:ascii="方正仿宋_GBK"/>
          <w:lang w:eastAsia="zh-CN"/>
        </w:rPr>
        <w:t>与</w:t>
      </w:r>
      <w:r>
        <w:rPr>
          <w:rFonts w:hint="eastAsia" w:ascii="方正仿宋_GBK"/>
        </w:rPr>
        <w:t>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≥75人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2023年，霸州市南孟镇北落店完全小学安排政府采购预算0.00万元。具体内容见下表。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501521霸州市南孟镇北落店完全小学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霸州市南孟镇北落店完全小学上年末固定资产金额为0.00万元（详见下表）。本年度拟购置固定资产总额为0.00万元，已按要求列入政府采购预算，详见政府采购预算表。</w:t>
      </w:r>
    </w:p>
    <w:p>
      <w:pPr>
        <w:jc w:val="center"/>
        <w:rPr>
          <w:rFonts w:eastAsia="方正小标宋_GBK" w:cs="方正小标宋_GBK" w:asciiTheme="minorHAnsi" w:hAnsiTheme="minorHAnsi"/>
          <w:color w:val="000000"/>
          <w:sz w:val="36"/>
          <w:lang w:val="uk-UA"/>
        </w:rPr>
      </w:pPr>
    </w:p>
    <w:p>
      <w:pPr>
        <w:jc w:val="center"/>
        <w:rPr>
          <w:rFonts w:eastAsia="方正小标宋_GBK" w:cs="方正小标宋_GBK" w:asciiTheme="minorHAnsi" w:hAnsiTheme="minorHAnsi"/>
          <w:color w:val="000000"/>
          <w:sz w:val="36"/>
          <w:lang w:val="uk-UA"/>
        </w:rPr>
      </w:pPr>
    </w:p>
    <w:p>
      <w:pPr>
        <w:jc w:val="center"/>
      </w:pPr>
      <w:bookmarkStart w:id="2" w:name="_GoBack"/>
      <w:bookmarkEnd w:id="2"/>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501521霸州市南孟镇北落店完全小学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5" w:hRule="atLeast"/>
          <w:jc w:val="center"/>
        </w:trPr>
        <w:tc>
          <w:tcPr>
            <w:tcW w:w="7370" w:type="dxa"/>
            <w:tcBorders>
              <w:bottom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tcBorders>
              <w:bottom w:val="single" w:color="auto" w:sz="4" w:space="0"/>
            </w:tcBorders>
            <w:vAlign w:val="center"/>
          </w:tcPr>
          <w:p>
            <w:pPr>
              <w:pStyle w:val="23"/>
            </w:pPr>
            <w:r>
              <w:rPr>
                <w:rFonts w:hint="eastAsia" w:ascii="宋体" w:hAnsi="宋体" w:eastAsia="宋体" w:cs="宋体"/>
                <w:sz w:val="22"/>
              </w:rPr>
              <w:t>——</w:t>
            </w:r>
          </w:p>
        </w:tc>
        <w:tc>
          <w:tcPr>
            <w:tcW w:w="2835" w:type="dxa"/>
            <w:tcBorders>
              <w:bottom w:val="single" w:color="auto" w:sz="4" w:space="0"/>
            </w:tcBorders>
            <w:vAlign w:val="center"/>
          </w:tcPr>
          <w:p>
            <w:pPr>
              <w:pStyle w:val="21"/>
            </w:pPr>
            <w:r>
              <w:t>772</w:t>
            </w:r>
            <w:r>
              <w:rPr>
                <w:rFonts w:hint="eastAsia"/>
                <w:lang w:eastAsia="zh-CN"/>
              </w:rPr>
              <w:t>.</w:t>
            </w:r>
            <w:r>
              <w:t>431347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tcBorders>
              <w:top w:val="single" w:color="auto" w:sz="4" w:space="0"/>
              <w:bottom w:val="single" w:color="auto" w:sz="4" w:space="0"/>
            </w:tcBorders>
            <w:vAlign w:val="center"/>
          </w:tcPr>
          <w:p>
            <w:pPr>
              <w:pStyle w:val="23"/>
            </w:pPr>
            <w:r>
              <w:t>0.00</w:t>
            </w:r>
          </w:p>
        </w:tc>
        <w:tc>
          <w:tcPr>
            <w:tcW w:w="2835" w:type="dxa"/>
            <w:tcBorders>
              <w:top w:val="single" w:color="auto" w:sz="4" w:space="0"/>
              <w:bottom w:val="single" w:color="auto" w:sz="4" w:space="0"/>
            </w:tcBorders>
            <w:vAlign w:val="center"/>
          </w:tcPr>
          <w:p>
            <w:pPr>
              <w:pStyle w:val="21"/>
            </w:pP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tcBorders>
              <w:top w:val="single" w:color="auto" w:sz="4" w:space="0"/>
              <w:bottom w:val="single" w:color="auto" w:sz="4" w:space="0"/>
            </w:tcBorders>
            <w:vAlign w:val="center"/>
          </w:tcPr>
          <w:p>
            <w:pPr>
              <w:pStyle w:val="23"/>
            </w:pPr>
            <w:r>
              <w:t>0.00</w:t>
            </w:r>
          </w:p>
        </w:tc>
        <w:tc>
          <w:tcPr>
            <w:tcW w:w="2835" w:type="dxa"/>
            <w:tcBorders>
              <w:top w:val="single" w:color="auto" w:sz="4" w:space="0"/>
              <w:bottom w:val="single" w:color="auto" w:sz="4" w:space="0"/>
            </w:tcBorders>
            <w:vAlign w:val="center"/>
          </w:tcPr>
          <w:p>
            <w:pPr>
              <w:pStyle w:val="21"/>
            </w:pP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2、车辆（台、辆）</w:t>
            </w:r>
          </w:p>
        </w:tc>
        <w:tc>
          <w:tcPr>
            <w:tcW w:w="2835" w:type="dxa"/>
            <w:tcBorders>
              <w:top w:val="single" w:color="auto" w:sz="4" w:space="0"/>
              <w:bottom w:val="single" w:color="auto" w:sz="4" w:space="0"/>
            </w:tcBorders>
            <w:vAlign w:val="center"/>
          </w:tcPr>
          <w:p>
            <w:pPr>
              <w:pStyle w:val="23"/>
            </w:pPr>
            <w:r>
              <w:t>0.00</w:t>
            </w:r>
          </w:p>
        </w:tc>
        <w:tc>
          <w:tcPr>
            <w:tcW w:w="2835" w:type="dxa"/>
            <w:tcBorders>
              <w:top w:val="single" w:color="auto" w:sz="4" w:space="0"/>
              <w:bottom w:val="single" w:color="auto" w:sz="4" w:space="0"/>
            </w:tcBorders>
            <w:vAlign w:val="center"/>
          </w:tcPr>
          <w:p>
            <w:pPr>
              <w:pStyle w:val="21"/>
            </w:pP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tcBorders>
              <w:top w:val="single" w:color="auto" w:sz="4" w:space="0"/>
              <w:bottom w:val="single" w:color="auto" w:sz="4" w:space="0"/>
            </w:tcBorders>
            <w:vAlign w:val="center"/>
          </w:tcPr>
          <w:p>
            <w:pPr>
              <w:pStyle w:val="23"/>
            </w:pPr>
            <w:r>
              <w:t>0.00</w:t>
            </w:r>
          </w:p>
        </w:tc>
        <w:tc>
          <w:tcPr>
            <w:tcW w:w="2835" w:type="dxa"/>
            <w:tcBorders>
              <w:top w:val="single" w:color="auto" w:sz="4" w:space="0"/>
              <w:bottom w:val="single" w:color="auto" w:sz="4" w:space="0"/>
            </w:tcBorders>
            <w:vAlign w:val="center"/>
          </w:tcPr>
          <w:p>
            <w:pPr>
              <w:pStyle w:val="21"/>
            </w:pP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7370" w:type="dxa"/>
            <w:tcBorders>
              <w:top w:val="single" w:color="auto" w:sz="4" w:space="0"/>
            </w:tcBorders>
            <w:vAlign w:val="center"/>
          </w:tcPr>
          <w:p>
            <w:pPr>
              <w:rPr>
                <w:rFonts w:eastAsia="宋体" w:cs="宋体" w:asciiTheme="minorHAnsi" w:hAnsiTheme="minorHAnsi"/>
                <w:sz w:val="22"/>
                <w:lang w:val="uk-UA"/>
              </w:rPr>
            </w:pPr>
            <w:r>
              <w:rPr>
                <w:rFonts w:hint="eastAsia" w:ascii="宋体" w:hAnsi="宋体" w:eastAsia="宋体" w:cs="宋体"/>
                <w:sz w:val="22"/>
              </w:rPr>
              <w:t>4、其他固定资产</w:t>
            </w:r>
          </w:p>
          <w:p>
            <w:pPr>
              <w:rPr>
                <w:rFonts w:eastAsia="宋体" w:cs="宋体" w:asciiTheme="minorHAnsi" w:hAnsiTheme="minorHAnsi"/>
                <w:sz w:val="22"/>
                <w:lang w:val="uk-UA"/>
              </w:rPr>
            </w:pPr>
          </w:p>
        </w:tc>
        <w:tc>
          <w:tcPr>
            <w:tcW w:w="2835" w:type="dxa"/>
            <w:tcBorders>
              <w:top w:val="single" w:color="auto" w:sz="4" w:space="0"/>
            </w:tcBorders>
            <w:vAlign w:val="center"/>
          </w:tcPr>
          <w:p>
            <w:pPr>
              <w:pStyle w:val="23"/>
            </w:pPr>
          </w:p>
        </w:tc>
        <w:tc>
          <w:tcPr>
            <w:tcW w:w="2835" w:type="dxa"/>
            <w:tcBorders>
              <w:top w:val="single" w:color="auto" w:sz="4" w:space="0"/>
            </w:tcBorders>
            <w:vAlign w:val="center"/>
          </w:tcPr>
          <w:p>
            <w:pPr>
              <w:pStyle w:val="21"/>
            </w:pPr>
            <w:r>
              <w:t>772</w:t>
            </w:r>
            <w:r>
              <w:rPr>
                <w:rFonts w:hint="eastAsia"/>
                <w:lang w:eastAsia="zh-CN"/>
              </w:rPr>
              <w:t>.</w:t>
            </w:r>
            <w:r>
              <w:t>431347</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Microsoft YaHei UI"/>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Microsoft YaHei UI"/>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jNTkxMmIyYzM2YjIxOGQwODA5Njg2ZmI0OWY5NDIifQ=="/>
    <w:docVar w:name="KSO_WPS_MARK_KEY" w:val="0d85bf16-3885-47c5-b680-72224ff26b5a"/>
  </w:docVars>
  <w:rsids>
    <w:rsidRoot w:val="004A1168"/>
    <w:rsid w:val="00012A57"/>
    <w:rsid w:val="0009041E"/>
    <w:rsid w:val="000B7353"/>
    <w:rsid w:val="00136014"/>
    <w:rsid w:val="001F67F8"/>
    <w:rsid w:val="002F010E"/>
    <w:rsid w:val="003A5231"/>
    <w:rsid w:val="003D654A"/>
    <w:rsid w:val="00464BFB"/>
    <w:rsid w:val="00471C2B"/>
    <w:rsid w:val="004A1168"/>
    <w:rsid w:val="005B7AFC"/>
    <w:rsid w:val="005B7CD4"/>
    <w:rsid w:val="006C00FA"/>
    <w:rsid w:val="006D6C4D"/>
    <w:rsid w:val="006F70C6"/>
    <w:rsid w:val="00735938"/>
    <w:rsid w:val="0078780E"/>
    <w:rsid w:val="008237C2"/>
    <w:rsid w:val="008A1419"/>
    <w:rsid w:val="00972810"/>
    <w:rsid w:val="00991EB1"/>
    <w:rsid w:val="009B55A2"/>
    <w:rsid w:val="00A51CBC"/>
    <w:rsid w:val="00A80758"/>
    <w:rsid w:val="00A9064A"/>
    <w:rsid w:val="00A915A7"/>
    <w:rsid w:val="00AA1FB3"/>
    <w:rsid w:val="00AD578B"/>
    <w:rsid w:val="00B6757F"/>
    <w:rsid w:val="00BA4703"/>
    <w:rsid w:val="00BB35A7"/>
    <w:rsid w:val="00C45C04"/>
    <w:rsid w:val="00C57197"/>
    <w:rsid w:val="00C672B5"/>
    <w:rsid w:val="00CC7E62"/>
    <w:rsid w:val="00D513F4"/>
    <w:rsid w:val="00D64AD2"/>
    <w:rsid w:val="00D93167"/>
    <w:rsid w:val="00D9444E"/>
    <w:rsid w:val="00E20116"/>
    <w:rsid w:val="00E3061C"/>
    <w:rsid w:val="00EF51BF"/>
    <w:rsid w:val="00F53F4E"/>
    <w:rsid w:val="00FC209C"/>
    <w:rsid w:val="1CCC5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24</Pages>
  <Words>5857</Words>
  <Characters>6825</Characters>
  <Lines>66</Lines>
  <Paragraphs>18</Paragraphs>
  <TotalTime>15</TotalTime>
  <ScaleCrop>false</ScaleCrop>
  <LinksUpToDate>false</LinksUpToDate>
  <CharactersWithSpaces>6991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2023-02-28T09:48:02Z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4BEC0861FFF04223A2CEE68850EE4FA9</vt:lpwstr>
  </property>
</Properties>
</file>